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6632" w14:textId="19FB41C5" w:rsidR="00A57816" w:rsidRDefault="00A57816" w:rsidP="00A57816">
      <w:pPr>
        <w:ind w:right="146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51939606"/>
      <w:bookmarkStart w:id="1" w:name="_Hlk21420256"/>
      <w:bookmarkStart w:id="2" w:name="_GoBack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Ford inwestuje 1 miliard dolarów (15,8 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mld 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randów RPA) w modernizację i rozbudowę południowoafrykańskiej </w:t>
      </w:r>
      <w:r>
        <w:rPr>
          <w:rFonts w:ascii="Arial" w:hAnsi="Arial" w:cs="Arial"/>
          <w:b/>
          <w:bCs/>
          <w:sz w:val="32"/>
          <w:szCs w:val="32"/>
          <w:lang w:val="pl-PL"/>
        </w:rPr>
        <w:t>fabryki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nowego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Rangera</w:t>
      </w:r>
      <w:bookmarkEnd w:id="2"/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>, zwiększając zatrudnienie o 1 200 osób</w:t>
      </w:r>
      <w:r>
        <w:rPr>
          <w:rFonts w:ascii="Arial" w:hAnsi="Arial" w:cs="Arial"/>
          <w:b/>
          <w:bCs/>
          <w:sz w:val="32"/>
          <w:szCs w:val="32"/>
          <w:lang w:val="pl-PL"/>
        </w:rPr>
        <w:t>.</w:t>
      </w:r>
    </w:p>
    <w:p w14:paraId="65065405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3ED22513" w14:textId="717F330D" w:rsidR="00A57816" w:rsidRPr="005359D3" w:rsidRDefault="00A57816" w:rsidP="00A57816">
      <w:pPr>
        <w:pStyle w:val="ListParagraph"/>
        <w:numPr>
          <w:ilvl w:val="0"/>
          <w:numId w:val="18"/>
        </w:numPr>
        <w:spacing w:after="200"/>
        <w:ind w:left="357"/>
        <w:contextualSpacing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Zakłady Forda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zwiększające od 2022 roku produkcję nowego Forda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hAnsi="Arial" w:cs="Arial"/>
          <w:sz w:val="22"/>
          <w:szCs w:val="22"/>
          <w:lang w:val="pl-PL"/>
        </w:rPr>
        <w:t>, zostaną zmodernizowane poprzez wdrożenie zaawansowanych technologii i systemów produkcyjnych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1EE51AE7" w14:textId="2BBF251F" w:rsidR="00A57816" w:rsidRPr="005359D3" w:rsidRDefault="00A57816" w:rsidP="00A57816">
      <w:pPr>
        <w:numPr>
          <w:ilvl w:val="0"/>
          <w:numId w:val="18"/>
        </w:numPr>
        <w:spacing w:after="20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planuje stworzenie dodatkowych 1 200 miejsc pracy, podnosząc tym samym zatrudnienie w Republice Południowej Afryki do 5 500 pracowników Szacuje się, że dzięki inwestycji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 lokalne sieci dostawców Forda powstanie około 10 000 nowych miejsc pracy</w:t>
      </w:r>
    </w:p>
    <w:p w14:paraId="5645D0F4" w14:textId="5716E21B" w:rsidR="00A57816" w:rsidRPr="005359D3" w:rsidRDefault="00A57816" w:rsidP="00A57816">
      <w:pPr>
        <w:numPr>
          <w:ilvl w:val="0"/>
          <w:numId w:val="18"/>
        </w:numPr>
        <w:spacing w:after="20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Inwestycja w nowe technologie, unowocześnienie zakładu i nowe obiekty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szacowane na 686 mln USD (10,3 mld randów RPA), ma podnieść wydajność i jakość produkcji nowego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4F6E13F4" w14:textId="23ED00D9" w:rsidR="00A57816" w:rsidRPr="005359D3" w:rsidRDefault="00A57816" w:rsidP="00A57816">
      <w:pPr>
        <w:numPr>
          <w:ilvl w:val="0"/>
          <w:numId w:val="19"/>
        </w:numPr>
        <w:spacing w:after="20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Roczna zdolność produkcyjna zakładu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wzrośnie ze 168 tys. do 200 tys. pojazdów, przeznaczonych na rynek krajowy i na ponad 100 rynków światowych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4D006662" w14:textId="564652E8" w:rsidR="00A57816" w:rsidRDefault="00A57816" w:rsidP="00A57816">
      <w:pPr>
        <w:numPr>
          <w:ilvl w:val="0"/>
          <w:numId w:val="19"/>
        </w:numPr>
        <w:spacing w:after="200"/>
        <w:rPr>
          <w:rFonts w:ascii="Arial" w:hAnsi="Arial" w:cs="Arial"/>
          <w:b/>
          <w:caps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stanie się jedną z pierwszych fabryk Forda na świecie, która osiągnie do roku 2024 status «Island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Mode</w:t>
      </w:r>
      <w:proofErr w:type="spellEnd"/>
      <w:r>
        <w:rPr>
          <w:rFonts w:ascii="Arial" w:hAnsi="Arial" w:cs="Arial"/>
          <w:sz w:val="22"/>
          <w:szCs w:val="22"/>
          <w:lang w:val="pl-PL"/>
        </w:rPr>
        <w:t>» – zakładu całkowicie samowystarczalnego energetycznie i neutralnego pod względem emisji dwutlenku węgla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364A947" w14:textId="117A4521" w:rsidR="00A57816" w:rsidRDefault="00A57816" w:rsidP="00A57816">
      <w:pPr>
        <w:numPr>
          <w:ilvl w:val="0"/>
          <w:numId w:val="19"/>
        </w:numPr>
        <w:ind w:hanging="357"/>
        <w:rPr>
          <w:rFonts w:ascii="Arial" w:hAnsi="Arial" w:cs="Arial"/>
          <w:b/>
          <w:cap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Kluczowym krokiem w kierunku uwolnienia nowych zdolności produkcyjnych jest publiczno-prywatne partnerstwo Forda ze wszystkimi trzema sferami władzy w Specjalnej Strefie Ekonomicznej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Tshwane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Automotive (TASEZ)</w:t>
      </w:r>
      <w:r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7BEBCF1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4C8A0911" w14:textId="640C824A" w:rsidR="00A57816" w:rsidRPr="005359D3" w:rsidRDefault="00A57816" w:rsidP="00A57816">
      <w:pPr>
        <w:pStyle w:val="Default"/>
        <w:rPr>
          <w:lang w:val="pl-PL"/>
        </w:rPr>
      </w:pPr>
      <w:bookmarkStart w:id="3" w:name="dateline"/>
      <w:bookmarkEnd w:id="3"/>
      <w:r>
        <w:rPr>
          <w:b/>
          <w:color w:val="00000A"/>
          <w:sz w:val="22"/>
          <w:szCs w:val="22"/>
          <w:lang w:val="pl-PL"/>
        </w:rPr>
        <w:t>WARSZAWA</w:t>
      </w:r>
      <w:r>
        <w:rPr>
          <w:b/>
          <w:color w:val="00000A"/>
          <w:sz w:val="22"/>
          <w:szCs w:val="22"/>
          <w:lang w:val="pl-PL"/>
        </w:rPr>
        <w:t xml:space="preserve">, </w:t>
      </w:r>
      <w:r>
        <w:rPr>
          <w:b/>
          <w:color w:val="00000A"/>
          <w:sz w:val="22"/>
          <w:szCs w:val="22"/>
          <w:lang w:val="pl-PL"/>
        </w:rPr>
        <w:t>4</w:t>
      </w:r>
      <w:r>
        <w:rPr>
          <w:b/>
          <w:color w:val="00000A"/>
          <w:sz w:val="22"/>
          <w:szCs w:val="22"/>
          <w:lang w:val="pl-PL"/>
        </w:rPr>
        <w:t xml:space="preserve"> lutego 2021 r</w:t>
      </w:r>
      <w:r>
        <w:rPr>
          <w:b/>
          <w:color w:val="00000A"/>
          <w:sz w:val="22"/>
          <w:szCs w:val="22"/>
          <w:lang w:val="pl-PL"/>
        </w:rPr>
        <w:t>oku</w:t>
      </w:r>
      <w:r>
        <w:rPr>
          <w:color w:val="00000A"/>
          <w:sz w:val="22"/>
          <w:szCs w:val="22"/>
          <w:lang w:val="pl-PL"/>
        </w:rPr>
        <w:t xml:space="preserve"> – Firma Ford Motor Company ogłosiła dziś plany inwestycji w wysokości 1,05 mld USD (15,8 mld randów) w zakłady produkcyjne w </w:t>
      </w:r>
      <w:r>
        <w:rPr>
          <w:sz w:val="22"/>
          <w:szCs w:val="22"/>
          <w:lang w:val="pl-PL"/>
        </w:rPr>
        <w:t>Republice Południowej Afryki – jest to największa inwestycja w 97</w:t>
      </w:r>
      <w:r>
        <w:rPr>
          <w:sz w:val="22"/>
          <w:szCs w:val="22"/>
          <w:lang w:val="pl-PL"/>
        </w:rPr>
        <w:noBreakHyphen/>
        <w:t xml:space="preserve">letniej historii Forda w RPA. Jest także jednym z największych w historii wkładów kapitałowych w południowoafrykański przemysł motoryzacyjny, który zwiększy możliwości produkcyjne Forda i stworzy nowe miejsca pracy. </w:t>
      </w:r>
    </w:p>
    <w:p w14:paraId="668AA2C5" w14:textId="77777777" w:rsidR="00A57816" w:rsidRDefault="00A57816" w:rsidP="00A57816">
      <w:pPr>
        <w:pStyle w:val="Default"/>
        <w:rPr>
          <w:sz w:val="22"/>
          <w:szCs w:val="22"/>
          <w:lang w:val="pl-PL"/>
        </w:rPr>
      </w:pPr>
    </w:p>
    <w:p w14:paraId="6F935859" w14:textId="77777777" w:rsidR="00A57816" w:rsidRDefault="00A57816" w:rsidP="00A57816"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– Inwestycja przyczyni się do modernizacji naszych południowoafrykańskich zakładów, pomagając im odegrać ważniejszą rolę w procesie transformacji i rozwoju globalnej działalności motoryzacyjnej Forda, a także w naszym strategicznym sojuszu z Volkswagenem – powiedziała Dianne Craig, prezes </w:t>
      </w:r>
      <w:proofErr w:type="spellStart"/>
      <w:r>
        <w:rPr>
          <w:sz w:val="22"/>
          <w:szCs w:val="22"/>
          <w:lang w:val="pl-PL"/>
        </w:rPr>
        <w:t>Ford's</w:t>
      </w:r>
      <w:proofErr w:type="spellEnd"/>
      <w:r>
        <w:rPr>
          <w:sz w:val="22"/>
          <w:szCs w:val="22"/>
          <w:lang w:val="pl-PL"/>
        </w:rPr>
        <w:t xml:space="preserve"> International </w:t>
      </w:r>
      <w:proofErr w:type="spellStart"/>
      <w:r>
        <w:rPr>
          <w:sz w:val="22"/>
          <w:szCs w:val="22"/>
          <w:lang w:val="pl-PL"/>
        </w:rPr>
        <w:t>Markets</w:t>
      </w:r>
      <w:proofErr w:type="spellEnd"/>
      <w:r>
        <w:rPr>
          <w:sz w:val="22"/>
          <w:szCs w:val="22"/>
          <w:lang w:val="pl-PL"/>
        </w:rPr>
        <w:t xml:space="preserve"> Grup. – </w:t>
      </w:r>
      <w:proofErr w:type="spellStart"/>
      <w:r>
        <w:rPr>
          <w:sz w:val="22"/>
          <w:szCs w:val="22"/>
          <w:lang w:val="pl-PL"/>
        </w:rPr>
        <w:t>Ranger</w:t>
      </w:r>
      <w:proofErr w:type="spellEnd"/>
      <w:r>
        <w:rPr>
          <w:sz w:val="22"/>
          <w:szCs w:val="22"/>
          <w:lang w:val="pl-PL"/>
        </w:rPr>
        <w:t xml:space="preserve"> jest jednym z naszych najlepiej sprzedających się pojazdów, odnoszących największe sukcesy na świecie. Inwestycja wyposaży nasz zespół w narzędzia i obiekty, dzięki którym będziemy mogli dostarczyć najlepszego Forda </w:t>
      </w:r>
      <w:proofErr w:type="spellStart"/>
      <w:r>
        <w:rPr>
          <w:sz w:val="22"/>
          <w:szCs w:val="22"/>
          <w:lang w:val="pl-PL"/>
        </w:rPr>
        <w:t>Rangera</w:t>
      </w:r>
      <w:proofErr w:type="spellEnd"/>
      <w:r>
        <w:rPr>
          <w:sz w:val="22"/>
          <w:szCs w:val="22"/>
          <w:lang w:val="pl-PL"/>
        </w:rPr>
        <w:t xml:space="preserve"> w historii, zwiększając liczbę produkowanych egzemplarzy i podnosząc ich jakość – dodała Dianne Craig.</w:t>
      </w:r>
    </w:p>
    <w:p w14:paraId="02B1470C" w14:textId="77777777" w:rsidR="00A57816" w:rsidRDefault="00A57816" w:rsidP="00A57816">
      <w:pPr>
        <w:pStyle w:val="Default"/>
        <w:rPr>
          <w:sz w:val="22"/>
          <w:szCs w:val="22"/>
          <w:lang w:val="pl-PL"/>
        </w:rPr>
      </w:pPr>
    </w:p>
    <w:p w14:paraId="65FF3C72" w14:textId="4EEF4B64" w:rsidR="00A57816" w:rsidRDefault="00A57816" w:rsidP="00A57816"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Ford ogłosił plany inwestycji podczas spotkania z mediami, w którym uczestniczył prezydent RPA Cyril </w:t>
      </w:r>
      <w:proofErr w:type="spellStart"/>
      <w:r>
        <w:rPr>
          <w:sz w:val="22"/>
          <w:szCs w:val="22"/>
          <w:lang w:val="pl-PL"/>
        </w:rPr>
        <w:t>Ramaphosa</w:t>
      </w:r>
      <w:proofErr w:type="spellEnd"/>
      <w:r>
        <w:rPr>
          <w:sz w:val="22"/>
          <w:szCs w:val="22"/>
          <w:lang w:val="pl-PL"/>
        </w:rPr>
        <w:t xml:space="preserve"> oraz kilku najważniejszych przedstawicieli rządu, w tym minister handlu, przemysłu i konkurencji </w:t>
      </w:r>
      <w:proofErr w:type="spellStart"/>
      <w:r>
        <w:rPr>
          <w:sz w:val="22"/>
          <w:szCs w:val="22"/>
          <w:lang w:val="pl-PL"/>
        </w:rPr>
        <w:t>Ebrahim</w:t>
      </w:r>
      <w:proofErr w:type="spellEnd"/>
      <w:r>
        <w:rPr>
          <w:sz w:val="22"/>
          <w:szCs w:val="22"/>
          <w:lang w:val="pl-PL"/>
        </w:rPr>
        <w:t xml:space="preserve"> </w:t>
      </w:r>
      <w:proofErr w:type="spellStart"/>
      <w:r>
        <w:rPr>
          <w:sz w:val="22"/>
          <w:szCs w:val="22"/>
          <w:lang w:val="pl-PL"/>
        </w:rPr>
        <w:t>Patel</w:t>
      </w:r>
      <w:proofErr w:type="spellEnd"/>
      <w:r>
        <w:rPr>
          <w:sz w:val="22"/>
          <w:szCs w:val="22"/>
          <w:lang w:val="pl-PL"/>
        </w:rPr>
        <w:t xml:space="preserve">, minister Departamentu Przedsiębiorstw Publicznych </w:t>
      </w:r>
      <w:proofErr w:type="spellStart"/>
      <w:r>
        <w:rPr>
          <w:sz w:val="22"/>
          <w:szCs w:val="22"/>
          <w:lang w:val="pl-PL"/>
        </w:rPr>
        <w:lastRenderedPageBreak/>
        <w:t>Pravin</w:t>
      </w:r>
      <w:proofErr w:type="spellEnd"/>
      <w:r>
        <w:rPr>
          <w:sz w:val="22"/>
          <w:szCs w:val="22"/>
          <w:lang w:val="pl-PL"/>
        </w:rPr>
        <w:t xml:space="preserve"> </w:t>
      </w:r>
      <w:proofErr w:type="spellStart"/>
      <w:r>
        <w:rPr>
          <w:sz w:val="22"/>
          <w:szCs w:val="22"/>
          <w:lang w:val="pl-PL"/>
        </w:rPr>
        <w:t>Gordhan</w:t>
      </w:r>
      <w:proofErr w:type="spellEnd"/>
      <w:r>
        <w:rPr>
          <w:sz w:val="22"/>
          <w:szCs w:val="22"/>
          <w:lang w:val="pl-PL"/>
        </w:rPr>
        <w:t xml:space="preserve">, premier prowincji </w:t>
      </w:r>
      <w:proofErr w:type="spellStart"/>
      <w:r>
        <w:rPr>
          <w:sz w:val="22"/>
          <w:szCs w:val="22"/>
          <w:lang w:val="pl-PL"/>
        </w:rPr>
        <w:t>Gauteng</w:t>
      </w:r>
      <w:proofErr w:type="spellEnd"/>
      <w:r>
        <w:rPr>
          <w:sz w:val="22"/>
          <w:szCs w:val="22"/>
          <w:lang w:val="pl-PL"/>
        </w:rPr>
        <w:t xml:space="preserve"> – David </w:t>
      </w:r>
      <w:proofErr w:type="spellStart"/>
      <w:r>
        <w:rPr>
          <w:sz w:val="22"/>
          <w:szCs w:val="22"/>
          <w:lang w:val="pl-PL"/>
        </w:rPr>
        <w:t>Makhura</w:t>
      </w:r>
      <w:proofErr w:type="spellEnd"/>
      <w:r>
        <w:rPr>
          <w:sz w:val="22"/>
          <w:szCs w:val="22"/>
          <w:lang w:val="pl-PL"/>
        </w:rPr>
        <w:t xml:space="preserve">, burmistrz miasta </w:t>
      </w:r>
      <w:proofErr w:type="spellStart"/>
      <w:r>
        <w:rPr>
          <w:sz w:val="22"/>
          <w:szCs w:val="22"/>
          <w:lang w:val="pl-PL"/>
        </w:rPr>
        <w:t>Tshwane</w:t>
      </w:r>
      <w:proofErr w:type="spellEnd"/>
      <w:r>
        <w:rPr>
          <w:sz w:val="22"/>
          <w:szCs w:val="22"/>
          <w:lang w:val="pl-PL"/>
        </w:rPr>
        <w:t xml:space="preserve"> </w:t>
      </w:r>
      <w:proofErr w:type="spellStart"/>
      <w:r>
        <w:rPr>
          <w:sz w:val="22"/>
          <w:szCs w:val="22"/>
          <w:lang w:val="pl-PL"/>
        </w:rPr>
        <w:t>Randall</w:t>
      </w:r>
      <w:proofErr w:type="spellEnd"/>
      <w:r>
        <w:rPr>
          <w:sz w:val="22"/>
          <w:szCs w:val="22"/>
          <w:lang w:val="pl-PL"/>
        </w:rPr>
        <w:t xml:space="preserve"> Williams, a także reprezentanci wyższej kadry kierowniczej Forda.</w:t>
      </w:r>
    </w:p>
    <w:p w14:paraId="0BBEDE40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3460F8E5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Oczekuje się, że dzięki inwestycji w zakład Forda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>, będzie on generował przychody przekraczające 1,1% produktu krajowego brutto RPA.</w:t>
      </w:r>
    </w:p>
    <w:p w14:paraId="386BF6FF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20EF6556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Roczna zdolność produkcyjna zakładu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wzrośnie ze 168 tys. do 200 tys. pojazdów, głównie nowego pickupa Forda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hAnsi="Arial" w:cs="Arial"/>
          <w:sz w:val="22"/>
          <w:szCs w:val="22"/>
          <w:lang w:val="pl-PL"/>
        </w:rPr>
        <w:t>, przeznaczonego na rynek krajowy i ponad 100 rynków światowych. Fabryka będzie również w ramach strategicznego sojuszu Forda z Volkswagenem produkować pickupy Volkswagena.</w:t>
      </w:r>
    </w:p>
    <w:p w14:paraId="1B0F5FC6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37D9E601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Zwiększona produkcja oznacza stworzenie 1 200 nowych miejsc pracy i podniesienie zatrudnienia w Fordzie w Republice Południowej Afryki do 5 500 pracowników, co wraz planowanymi dodatkowymi 10 000 nowymi miejscami pracy w lokalnej sieci dostawców Forda, daje łączną liczbę 60 000 zatrudnionych. </w:t>
      </w:r>
    </w:p>
    <w:p w14:paraId="3D597B3F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2CD9F349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Wkład kapitałowy w wysokości 686 mln USD (10,3 mld randów RPA), przeznaczony na głęboką modernizację zakładu montażowego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wpłynie na znaczną poprawę wydajności produkcji i jakości pojazdów. </w:t>
      </w:r>
    </w:p>
    <w:p w14:paraId="4056F15D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62765F50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Modernizacja obejmie budowę nowego zakładu produkcji nadwozi z najnowszą zrobotyzowaną linią montażu oraz nowej, zaawansowanej tłoczni. Oba obiekty będą po raz pierwszy zlokalizowane na miejscu, co wpłynie na unowocześnienie i usprawnienie zintegrowanego procesu produkcji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a także na podniesienie jakości oraz zmniejszenie ogólnych kosztów i ilości odpadów. </w:t>
      </w:r>
    </w:p>
    <w:p w14:paraId="72337ACB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3BFAABD1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Nowa tłocznia będzie korzystała z szybkiej linii produkcyjnej, wytwarzającej wszystkie główne elementy blaszane nowego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Elementem linii będzie w pełni zautomatyzowany system przechowywania i wybierania tłoczników, który zostanie umieszczony w dachu obiektu, co w innowacyjny sposób skraca procesy związane z przygotowaniem pras. Ponadto, nowoczesny system skanowania powierzchni światłem niebieskim, kontrolujący niedoskonałości, zapewni najwyższą jakość produktów końcowych opuszczających tłocznię. </w:t>
      </w:r>
    </w:p>
    <w:p w14:paraId="1A9E4453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44AFDDFF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Przeprowadzone zostaną również udoskonalenia na linii produkcyjnej, lakierni i sekcji montażu końcowego, w celu usprawnienia przepływu pojazdów w zakładzie, a także rozbudowa placu kontenerowego i placu dla pojazdów.</w:t>
      </w:r>
    </w:p>
    <w:p w14:paraId="29E4622B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3996DFFE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stworzy również nowe centra modyfikacji pojazdów i centra szkoleniowe – aby wyposażyć wszystkich pracowników Forda w wiedzę i umiejętności, wymagane do maksymalnego wykorzystania możliwości zmodernizowanych zakładów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C1BDAFA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03ACA282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Tak głęboka modernizacja i najnowocześniejsze technologie produkcyjne przyczynią się do wzrostu wydajności naszej działalności w RPA, wpłyną zarówno na sekwencyjne dostawy części bezpośrednio na linię montażową, zwiększenie prędkości linii produkcji pojazdów, jak i precyzję montażu, a w efekcie na podniesienie jakości do najwyższych standardów, których oczekują nasi klienci – powiedział Andrea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Cavallaro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dyrektor ds. operacyjnych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Ford's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International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Markets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Group.</w:t>
      </w:r>
    </w:p>
    <w:p w14:paraId="10E3081B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2F1B0575" w14:textId="77777777" w:rsidR="00A57816" w:rsidRDefault="00A57816" w:rsidP="00A57816">
      <w:pPr>
        <w:pStyle w:val="Default"/>
        <w:rPr>
          <w:b/>
          <w:bCs/>
          <w:color w:val="00000A"/>
          <w:sz w:val="22"/>
          <w:szCs w:val="22"/>
          <w:lang w:val="pl-PL"/>
        </w:rPr>
      </w:pPr>
    </w:p>
    <w:p w14:paraId="70BAB418" w14:textId="4D2C147E" w:rsidR="00A57816" w:rsidRDefault="00A57816" w:rsidP="00A57816">
      <w:pPr>
        <w:pStyle w:val="Default"/>
        <w:rPr>
          <w:b/>
          <w:bCs/>
          <w:color w:val="00000A"/>
          <w:sz w:val="22"/>
          <w:szCs w:val="22"/>
          <w:lang w:val="pl-PL"/>
        </w:rPr>
      </w:pPr>
      <w:r>
        <w:rPr>
          <w:b/>
          <w:bCs/>
          <w:color w:val="00000A"/>
          <w:sz w:val="22"/>
          <w:szCs w:val="22"/>
          <w:lang w:val="pl-PL"/>
        </w:rPr>
        <w:lastRenderedPageBreak/>
        <w:t xml:space="preserve">Status «Island </w:t>
      </w:r>
      <w:proofErr w:type="spellStart"/>
      <w:r>
        <w:rPr>
          <w:b/>
          <w:bCs/>
          <w:color w:val="00000A"/>
          <w:sz w:val="22"/>
          <w:szCs w:val="22"/>
          <w:lang w:val="pl-PL"/>
        </w:rPr>
        <w:t>mode</w:t>
      </w:r>
      <w:proofErr w:type="spellEnd"/>
      <w:r>
        <w:rPr>
          <w:b/>
          <w:bCs/>
          <w:color w:val="00000A"/>
          <w:sz w:val="22"/>
          <w:szCs w:val="22"/>
          <w:lang w:val="pl-PL"/>
        </w:rPr>
        <w:t>»</w:t>
      </w:r>
    </w:p>
    <w:p w14:paraId="459BF714" w14:textId="650E517B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program inwestycyjny uwzględnia założenia niedawno ogłoszonego projektu wykorzystania energii odnawialnej Project Blue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Oval</w:t>
      </w:r>
      <w:proofErr w:type="spellEnd"/>
      <w:r>
        <w:rPr>
          <w:rFonts w:ascii="Arial" w:hAnsi="Arial" w:cs="Arial"/>
          <w:sz w:val="22"/>
          <w:szCs w:val="22"/>
          <w:lang w:val="pl-PL"/>
        </w:rPr>
        <w:t>, zgodnego z globalnym zobowiązaniem firmy, aby do 2035 roku wszystkie zakłady produkcyjne wykorzystywały pozyskiwaną w całości lokalnie energię ze źródeł odnawialnych i do roku 2050 osiągnęły neutralność pod względem emisji dwutlenku węgla.</w:t>
      </w:r>
    </w:p>
    <w:p w14:paraId="0B628592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5DAAFA91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Pierwsza faza Projektu Blue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Oval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już w trakcie realizacji – w zakładzie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powstaną zadaszenia z panelami solarnymi dla 4 200 pojazdów. </w:t>
      </w:r>
    </w:p>
    <w:p w14:paraId="035B864A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693B70CA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Naszym celem jest osiągnięcie statusu «Island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Mode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», czyli zupełne odłączenie zakładu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od zewnętrznej sieci energetycznej i osiągnięcie całkowitej samowystarczalności oraz neutralności pod względem emisji dwutlenku węgla do 2024 roku –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Cavallaro</w:t>
      </w:r>
      <w:proofErr w:type="spellEnd"/>
      <w:r>
        <w:rPr>
          <w:rFonts w:ascii="Arial" w:hAnsi="Arial" w:cs="Arial"/>
          <w:sz w:val="22"/>
          <w:szCs w:val="22"/>
          <w:lang w:val="pl-PL"/>
        </w:rPr>
        <w:t>. – Będzie to jedna z pierwszych fabryk Forda na świecie, która osiągnie ten status.</w:t>
      </w:r>
    </w:p>
    <w:p w14:paraId="2862E028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33599D9D" w14:textId="77777777" w:rsidR="00A57816" w:rsidRDefault="00A57816" w:rsidP="00A57816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Modernizacja naszej bazy dostawców</w:t>
      </w:r>
    </w:p>
    <w:p w14:paraId="10006C80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zainwestuje również 365 mln USD (5,5 mld randów RPA) w unowocześnienie oprzyrządowania w fabrykach głównych dostawców firmy.</w:t>
      </w:r>
    </w:p>
    <w:p w14:paraId="7B4F2384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261287ED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Nowe oprzyrządowanie dostarczone naszym dostawcom jest elementem wspólnej modernizacji, dzięki której podniesie się zarówno jakość, jak i liczba egzemplarzy nowego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produkowanych dla klientów w kraju i za granicą –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Cavallaro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FF54413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6F41507C" w14:textId="77777777" w:rsidR="00A57816" w:rsidRDefault="00A57816" w:rsidP="00A57816">
      <w:pPr>
        <w:pStyle w:val="Defaul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Wzrost gospodarczy</w:t>
      </w:r>
    </w:p>
    <w:p w14:paraId="37B99F1B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Częścią naszych szeroko zakrojonych inwestycji w fabryce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również nowa, należąca do Forda i obsługiwaną przez niego linia montażu podwozi do nowych pojazdów w specjalnej strefie ekonomicznej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Tshwane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(TASEZ) –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Ockert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Berry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wiceprezes ds. operacyjnych Ford Motor Company of Southern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Africa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6719A499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5DCC80F5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Bliska lokalizacja nowej linii i naszych głównych dostawców komponentów, którzy znajdą się w sąsiedztwie fabryki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TASEZ będzie miała kluczowy wpływ na zwiększenie naszych zdolności produkcyjnych, ponieważ podzespoły będą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sekwencjonowane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bezpośrednio na linii montażowej – dodał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Berry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– To znacznie zmniejszy koszty logistyczne i złożoność dostaw, poprawi wydajność i pozwoli nam montować więcej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Rangerów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tym samym czasie.</w:t>
      </w:r>
    </w:p>
    <w:p w14:paraId="097C2F1E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bookmarkStart w:id="4" w:name="_Hlk48552805"/>
      <w:bookmarkEnd w:id="4"/>
    </w:p>
    <w:p w14:paraId="7C284BE4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Przedstawiciele Forda zasiadają w zarządzie TASEZ, a firma ściśle współpracuje ze wszystkimi trzema sferami władzy oraz podmiotami państwowymi, jak państwowa grupa logistyczna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Transnet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przy tworzeniu wysokoprzepustowego korytarza kolejowego pomiędzy prowincją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Gauteng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a prowincją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Eastern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Cape. Wielozadaniowa linia, połączy fabrykę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Silverton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strefę TASEZ z Port Elizabeth, w którym znajduje się fabryka silników Forda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Struandale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oraz Specjalna Strefa Ekonomiczna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Coega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30F45A4C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2938E1D0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Kolejowy Korytarz Towarowy o wysokiej przepustowości między prowincjami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Gauteng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Eastern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Cape będzie kierował całą spedycję przychodzącą i wychodzącą Forda wyłącznie przez Port Elizabeth, aby obsłużyć zwiększoną produkcję. Przewiduje się, że stworzy on tysiące miejsc pracy w ogólnym łańcuchu wartości.</w:t>
      </w:r>
    </w:p>
    <w:p w14:paraId="063BB7FE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3C0E2D11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Inwestycja w zakłady produkcyjne Forda w Republice Południowej Afryki podkreśla nasze nieustanne zaangażowanie w dostarczanie klientom z RPA i całego świata coraz lepszych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pojazdów. Daje jednocześnie możliwości rozwoju naszym pracownikom, nowym członkom zespołu i całej naszej społeczności –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Neale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Hill, dyrektor zarządzający Ford Motor Company of Southern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Africa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06E3BBF2" w14:textId="7158C7A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75F0480D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</w:p>
    <w:p w14:paraId="69ADF36D" w14:textId="1E091AA1" w:rsidR="00A57816" w:rsidRDefault="00A57816" w:rsidP="00A57816">
      <w:pPr>
        <w:spacing w:after="200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###</w:t>
      </w:r>
    </w:p>
    <w:p w14:paraId="5E4F485C" w14:textId="77777777" w:rsidR="00A57816" w:rsidRDefault="00A57816" w:rsidP="00A57816">
      <w:pPr>
        <w:spacing w:after="200"/>
        <w:jc w:val="center"/>
        <w:rPr>
          <w:rFonts w:ascii="Arial" w:hAnsi="Arial" w:cs="Arial"/>
          <w:lang w:val="pl-PL"/>
        </w:rPr>
      </w:pPr>
    </w:p>
    <w:p w14:paraId="5160857F" w14:textId="77777777" w:rsidR="00A57816" w:rsidRDefault="00A57816" w:rsidP="00A5781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Zapoznaj się z najnowszymi wiadomościami z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South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Africa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odwiedzając Newsroom:</w:t>
      </w:r>
    </w:p>
    <w:p w14:paraId="7EEE3E5C" w14:textId="77777777" w:rsidR="00A57816" w:rsidRPr="005359D3" w:rsidRDefault="00A57816" w:rsidP="00A57816">
      <w:pPr>
        <w:spacing w:after="200"/>
        <w:rPr>
          <w:lang w:val="pl-PL"/>
        </w:rPr>
      </w:pPr>
      <w:hyperlink r:id="rId8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https://www.ford.co.za/about-ford/newsroom/</w:t>
        </w:r>
      </w:hyperlink>
    </w:p>
    <w:p w14:paraId="3AADBA29" w14:textId="77777777" w:rsidR="00A57816" w:rsidRDefault="00A57816" w:rsidP="00A57816">
      <w:pPr>
        <w:spacing w:after="200"/>
        <w:jc w:val="center"/>
        <w:rPr>
          <w:rFonts w:ascii="Arial" w:hAnsi="Arial" w:cs="Arial"/>
          <w:lang w:val="pl-PL"/>
        </w:rPr>
      </w:pPr>
    </w:p>
    <w:p w14:paraId="14DB5ED6" w14:textId="448197EA" w:rsidR="00A57816" w:rsidRDefault="00A57816" w:rsidP="00A57816">
      <w:pPr>
        <w:spacing w:after="200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###</w:t>
      </w:r>
    </w:p>
    <w:p w14:paraId="3ED204B2" w14:textId="35CB7BAE" w:rsidR="00A57816" w:rsidRDefault="00A57816" w:rsidP="00A57816">
      <w:pPr>
        <w:rPr>
          <w:rFonts w:ascii="Arial" w:hAnsi="Arial" w:cs="Arial"/>
          <w:b/>
          <w:i/>
          <w:szCs w:val="20"/>
          <w:lang w:val="pl-PL"/>
        </w:rPr>
      </w:pPr>
    </w:p>
    <w:p w14:paraId="5A54924F" w14:textId="77777777" w:rsidR="00A57816" w:rsidRDefault="00A57816" w:rsidP="00A57816">
      <w:pPr>
        <w:rPr>
          <w:rFonts w:ascii="Arial" w:hAnsi="Arial" w:cs="Arial"/>
          <w:b/>
          <w:i/>
          <w:szCs w:val="20"/>
          <w:lang w:val="pl-PL"/>
        </w:rPr>
      </w:pPr>
    </w:p>
    <w:p w14:paraId="1A0AE90C" w14:textId="77777777" w:rsidR="00A57816" w:rsidRPr="005359D3" w:rsidRDefault="00A57816" w:rsidP="00A57816">
      <w:pPr>
        <w:rPr>
          <w:lang w:val="pl-PL"/>
        </w:rPr>
      </w:pPr>
      <w:r>
        <w:rPr>
          <w:rFonts w:ascii="Arial" w:hAnsi="Arial" w:cs="Arial"/>
          <w:b/>
          <w:i/>
          <w:szCs w:val="20"/>
          <w:lang w:val="pl-PL"/>
        </w:rPr>
        <w:t>O Ford Motor Company</w:t>
      </w:r>
      <w:r>
        <w:rPr>
          <w:rFonts w:ascii="Arial" w:hAnsi="Arial" w:cs="Arial"/>
          <w:b/>
          <w:i/>
          <w:szCs w:val="20"/>
          <w:lang w:val="pl-PL"/>
        </w:rPr>
        <w:br/>
      </w:r>
      <w:r>
        <w:rPr>
          <w:rFonts w:ascii="Arial" w:hAnsi="Arial" w:cs="Arial"/>
          <w:bCs/>
          <w:i/>
          <w:szCs w:val="2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bCs/>
          <w:i/>
          <w:szCs w:val="20"/>
          <w:lang w:val="pl-PL"/>
        </w:rPr>
        <w:t>Dearborn</w:t>
      </w:r>
      <w:proofErr w:type="spellEnd"/>
      <w:r>
        <w:rPr>
          <w:rFonts w:ascii="Arial" w:hAnsi="Arial" w:cs="Arial"/>
          <w:bCs/>
          <w:i/>
          <w:szCs w:val="20"/>
          <w:lang w:val="pl-PL"/>
        </w:rPr>
        <w:t xml:space="preserve"> w stanie Michigan w USA jest globalną marką oferującą samochody i usługi mobilne. Firma zatrudnia około 187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bCs/>
          <w:i/>
          <w:szCs w:val="20"/>
          <w:lang w:val="pl-PL"/>
        </w:rPr>
        <w:t>Credit</w:t>
      </w:r>
      <w:proofErr w:type="spellEnd"/>
      <w:r>
        <w:rPr>
          <w:rFonts w:ascii="Arial" w:hAnsi="Arial" w:cs="Arial"/>
          <w:bCs/>
          <w:i/>
          <w:szCs w:val="20"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bCs/>
          <w:i/>
          <w:szCs w:val="20"/>
          <w:lang w:val="pl-PL"/>
        </w:rPr>
        <w:t>Credit</w:t>
      </w:r>
      <w:proofErr w:type="spellEnd"/>
      <w:r>
        <w:rPr>
          <w:rFonts w:ascii="Arial" w:hAnsi="Arial" w:cs="Arial"/>
          <w:bCs/>
          <w:i/>
          <w:szCs w:val="20"/>
          <w:lang w:val="pl-PL"/>
        </w:rPr>
        <w:t xml:space="preserve"> Company na stronie </w:t>
      </w:r>
      <w:hyperlink r:id="rId9">
        <w:r>
          <w:rPr>
            <w:rStyle w:val="czeinternetowe"/>
            <w:rFonts w:ascii="Arial" w:hAnsi="Arial" w:cs="Arial"/>
            <w:i/>
            <w:szCs w:val="20"/>
            <w:lang w:val="pl-PL"/>
          </w:rPr>
          <w:t>www.corporate.ford.com</w:t>
        </w:r>
      </w:hyperlink>
      <w:r>
        <w:rPr>
          <w:rFonts w:ascii="Arial" w:hAnsi="Arial" w:cs="Arial"/>
          <w:i/>
          <w:szCs w:val="20"/>
          <w:lang w:val="pl-PL"/>
        </w:rPr>
        <w:t xml:space="preserve"> / </w:t>
      </w:r>
      <w:hyperlink r:id="rId10">
        <w:r>
          <w:rPr>
            <w:rStyle w:val="czeinternetowe"/>
            <w:rFonts w:ascii="Arial" w:hAnsi="Arial" w:cs="Arial"/>
            <w:i/>
            <w:szCs w:val="20"/>
            <w:lang w:val="pl-PL"/>
          </w:rPr>
          <w:t>www.ford.co.za</w:t>
        </w:r>
      </w:hyperlink>
      <w:r>
        <w:rPr>
          <w:rFonts w:ascii="Arial" w:hAnsi="Arial" w:cs="Arial"/>
          <w:i/>
          <w:szCs w:val="20"/>
          <w:lang w:val="pl-PL"/>
        </w:rPr>
        <w:t xml:space="preserve"> lub </w:t>
      </w:r>
      <w:hyperlink r:id="rId11">
        <w:r>
          <w:rPr>
            <w:rStyle w:val="czeinternetowe"/>
            <w:rFonts w:ascii="Arial" w:hAnsi="Arial" w:cs="Arial"/>
            <w:i/>
            <w:iCs/>
            <w:szCs w:val="20"/>
            <w:lang w:val="pl-PL"/>
          </w:rPr>
          <w:t>www.quickpic.co.za</w:t>
        </w:r>
      </w:hyperlink>
      <w:r>
        <w:rPr>
          <w:rFonts w:ascii="Arial" w:hAnsi="Arial" w:cs="Arial"/>
          <w:i/>
          <w:szCs w:val="20"/>
          <w:lang w:val="pl-PL"/>
        </w:rPr>
        <w:t xml:space="preserve"> - Śledź nas na: </w:t>
      </w:r>
      <w:hyperlink r:id="rId12">
        <w:r>
          <w:rPr>
            <w:rStyle w:val="czeinternetowe"/>
            <w:rFonts w:ascii="Arial" w:hAnsi="Arial" w:cs="Arial"/>
            <w:i/>
            <w:szCs w:val="20"/>
            <w:lang w:val="pl-PL"/>
          </w:rPr>
          <w:t>www.facebook.com/FordSouthAfrica</w:t>
        </w:r>
      </w:hyperlink>
      <w:r>
        <w:rPr>
          <w:rFonts w:ascii="Arial" w:hAnsi="Arial" w:cs="Arial"/>
          <w:i/>
          <w:szCs w:val="20"/>
          <w:lang w:val="pl-PL"/>
        </w:rPr>
        <w:t xml:space="preserve"> , </w:t>
      </w:r>
      <w:hyperlink r:id="rId13">
        <w:r>
          <w:rPr>
            <w:rStyle w:val="czeinternetowe"/>
            <w:rFonts w:ascii="Arial" w:hAnsi="Arial" w:cs="Arial"/>
            <w:i/>
            <w:szCs w:val="20"/>
            <w:lang w:val="pl-PL"/>
          </w:rPr>
          <w:t>www.twitter.com/FordSouthAfrica</w:t>
        </w:r>
      </w:hyperlink>
      <w:r>
        <w:rPr>
          <w:rFonts w:ascii="Arial" w:hAnsi="Arial" w:cs="Arial"/>
          <w:i/>
          <w:szCs w:val="20"/>
          <w:lang w:val="pl-PL"/>
        </w:rPr>
        <w:t xml:space="preserve"> , </w:t>
      </w:r>
      <w:hyperlink r:id="rId14">
        <w:r>
          <w:rPr>
            <w:rStyle w:val="czeinternetowe"/>
            <w:rFonts w:ascii="Arial" w:hAnsi="Arial" w:cs="Arial"/>
            <w:i/>
            <w:szCs w:val="20"/>
            <w:lang w:val="pl-PL"/>
          </w:rPr>
          <w:t>www.instagram.com/FordSouthAfrica</w:t>
        </w:r>
      </w:hyperlink>
      <w:r>
        <w:rPr>
          <w:rFonts w:ascii="Arial" w:hAnsi="Arial" w:cs="Arial"/>
          <w:i/>
          <w:szCs w:val="20"/>
          <w:lang w:val="pl-PL"/>
        </w:rPr>
        <w:t xml:space="preserve">  lub </w:t>
      </w:r>
      <w:hyperlink r:id="rId15">
        <w:r>
          <w:rPr>
            <w:rStyle w:val="czeinternetowe"/>
            <w:rFonts w:ascii="Arial" w:hAnsi="Arial" w:cs="Arial"/>
            <w:i/>
            <w:szCs w:val="20"/>
            <w:lang w:val="pl-PL"/>
          </w:rPr>
          <w:t>www.youtube.com/FordSouthAfrica</w:t>
        </w:r>
      </w:hyperlink>
    </w:p>
    <w:p w14:paraId="2F9B36AB" w14:textId="77777777" w:rsidR="00A57816" w:rsidRDefault="00A57816" w:rsidP="00A57816">
      <w:pPr>
        <w:rPr>
          <w:rFonts w:ascii="Arial" w:hAnsi="Arial" w:cs="Arial"/>
          <w:i/>
          <w:lang w:val="pl-PL"/>
        </w:rPr>
      </w:pPr>
    </w:p>
    <w:p w14:paraId="708D18A2" w14:textId="77777777" w:rsidR="00A57816" w:rsidRDefault="00A57816" w:rsidP="00A57816">
      <w:pPr>
        <w:rPr>
          <w:rFonts w:ascii="Arial" w:hAnsi="Arial" w:cs="Arial"/>
          <w:i/>
          <w:lang w:val="pl-PL"/>
        </w:rPr>
      </w:pPr>
    </w:p>
    <w:p w14:paraId="346FBE81" w14:textId="41CE4228" w:rsidR="00364D2A" w:rsidRDefault="00364D2A" w:rsidP="00364D2A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i/>
          <w:iCs/>
          <w:lang w:val="pl-PL"/>
        </w:rPr>
        <w:t>.</w:t>
      </w:r>
    </w:p>
    <w:bookmarkEnd w:id="0"/>
    <w:p w14:paraId="523C41F2" w14:textId="76E5E1C1" w:rsidR="0062216E" w:rsidRDefault="0062216E" w:rsidP="0062216E">
      <w:pPr>
        <w:rPr>
          <w:rFonts w:ascii="Arial" w:hAnsi="Arial" w:cs="Arial"/>
          <w:i/>
          <w:color w:val="00000A"/>
          <w:sz w:val="22"/>
          <w:szCs w:val="22"/>
          <w:lang w:val="pl-PL"/>
        </w:rPr>
      </w:pPr>
    </w:p>
    <w:p w14:paraId="6869E64B" w14:textId="77777777" w:rsidR="00A57816" w:rsidRDefault="00A57816" w:rsidP="00A57816">
      <w:pPr>
        <w:spacing w:after="200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###</w:t>
      </w:r>
    </w:p>
    <w:p w14:paraId="1FEE3F75" w14:textId="4CA67236" w:rsidR="00EC0B39" w:rsidRPr="00711495" w:rsidRDefault="00EC0B39" w:rsidP="00EC0B39">
      <w:pPr>
        <w:pStyle w:val="NormalWeb"/>
        <w:shd w:val="clear" w:color="auto" w:fill="FFFFFF"/>
        <w:spacing w:before="0" w:after="150"/>
        <w:rPr>
          <w:lang w:val="pl-PL"/>
        </w:rPr>
      </w:pP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p w14:paraId="7C7ACEDC" w14:textId="1E851F11" w:rsidR="00AD5814" w:rsidRPr="00711495" w:rsidRDefault="00AD5814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711495" w14:paraId="17F79621" w14:textId="77777777" w:rsidTr="00544E94">
        <w:tc>
          <w:tcPr>
            <w:tcW w:w="1320" w:type="dxa"/>
          </w:tcPr>
          <w:bookmarkEnd w:id="1"/>
          <w:p w14:paraId="61EAB86D" w14:textId="0017A22E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A57816" w14:paraId="64A7CA37" w14:textId="77777777" w:rsidTr="00544E94">
        <w:tc>
          <w:tcPr>
            <w:tcW w:w="1320" w:type="dxa"/>
          </w:tcPr>
          <w:p w14:paraId="10472B56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711495" w14:paraId="37A5BC18" w14:textId="77777777" w:rsidTr="00544E94">
        <w:tc>
          <w:tcPr>
            <w:tcW w:w="1320" w:type="dxa"/>
          </w:tcPr>
          <w:p w14:paraId="14057999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14:paraId="4BEBFF16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316D2BB3" w14:textId="4C7D9359" w:rsidR="0078699F" w:rsidRPr="00711495" w:rsidRDefault="007A3385" w:rsidP="00DC62D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711495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sectPr w:rsidR="0078699F" w:rsidRPr="00711495">
      <w:footerReference w:type="default" r:id="rId16"/>
      <w:headerReference w:type="first" r:id="rId17"/>
      <w:footerReference w:type="first" r:id="rId18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319D" w14:textId="77777777" w:rsidR="006C11D8" w:rsidRDefault="006C11D8">
      <w:r>
        <w:separator/>
      </w:r>
    </w:p>
  </w:endnote>
  <w:endnote w:type="continuationSeparator" w:id="0">
    <w:p w14:paraId="626994F0" w14:textId="77777777" w:rsidR="006C11D8" w:rsidRDefault="006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A57816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E3D80" w14:textId="77777777" w:rsidR="006C11D8" w:rsidRDefault="006C11D8">
      <w:r>
        <w:separator/>
      </w:r>
    </w:p>
  </w:footnote>
  <w:footnote w:type="continuationSeparator" w:id="0">
    <w:p w14:paraId="0BAE3969" w14:textId="77777777" w:rsidR="006C11D8" w:rsidRDefault="006C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7601"/>
    <w:multiLevelType w:val="multilevel"/>
    <w:tmpl w:val="B726A1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A60711A"/>
    <w:multiLevelType w:val="multilevel"/>
    <w:tmpl w:val="7E60B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6"/>
  </w:num>
  <w:num w:numId="5">
    <w:abstractNumId w:val="18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5"/>
  </w:num>
  <w:num w:numId="15">
    <w:abstractNumId w:val="15"/>
  </w:num>
  <w:num w:numId="16">
    <w:abstractNumId w:val="8"/>
  </w:num>
  <w:num w:numId="17">
    <w:abstractNumId w:val="17"/>
  </w:num>
  <w:num w:numId="18">
    <w:abstractNumId w:val="9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60B66"/>
    <w:rsid w:val="00066D7B"/>
    <w:rsid w:val="0006720E"/>
    <w:rsid w:val="00070998"/>
    <w:rsid w:val="000760A3"/>
    <w:rsid w:val="00080C81"/>
    <w:rsid w:val="0008239F"/>
    <w:rsid w:val="00090E7A"/>
    <w:rsid w:val="00094247"/>
    <w:rsid w:val="000A302A"/>
    <w:rsid w:val="000B1463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E6314"/>
    <w:rsid w:val="001F1748"/>
    <w:rsid w:val="0020173F"/>
    <w:rsid w:val="002160FA"/>
    <w:rsid w:val="00220308"/>
    <w:rsid w:val="00235A84"/>
    <w:rsid w:val="00236E2D"/>
    <w:rsid w:val="0023723C"/>
    <w:rsid w:val="00243B0D"/>
    <w:rsid w:val="00243F8B"/>
    <w:rsid w:val="002531D9"/>
    <w:rsid w:val="00267340"/>
    <w:rsid w:val="00273A8B"/>
    <w:rsid w:val="002805B1"/>
    <w:rsid w:val="002823D9"/>
    <w:rsid w:val="00291048"/>
    <w:rsid w:val="0029464F"/>
    <w:rsid w:val="002A4EFF"/>
    <w:rsid w:val="002B43D2"/>
    <w:rsid w:val="002B4EE0"/>
    <w:rsid w:val="002E2656"/>
    <w:rsid w:val="002F5335"/>
    <w:rsid w:val="003064BB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D0476"/>
    <w:rsid w:val="004D477B"/>
    <w:rsid w:val="004E3236"/>
    <w:rsid w:val="004E366F"/>
    <w:rsid w:val="004E6D58"/>
    <w:rsid w:val="00501CC4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63631"/>
    <w:rsid w:val="00681E06"/>
    <w:rsid w:val="006A0986"/>
    <w:rsid w:val="006A0F5F"/>
    <w:rsid w:val="006A5B83"/>
    <w:rsid w:val="006C004A"/>
    <w:rsid w:val="006C0090"/>
    <w:rsid w:val="006C11D8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D3C05"/>
    <w:rsid w:val="007D6B52"/>
    <w:rsid w:val="007E6E43"/>
    <w:rsid w:val="007E7123"/>
    <w:rsid w:val="007F0BD4"/>
    <w:rsid w:val="00801723"/>
    <w:rsid w:val="00802294"/>
    <w:rsid w:val="00802725"/>
    <w:rsid w:val="008101F2"/>
    <w:rsid w:val="00812858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4416"/>
    <w:rsid w:val="009D1A86"/>
    <w:rsid w:val="009E3919"/>
    <w:rsid w:val="009E6275"/>
    <w:rsid w:val="009F319E"/>
    <w:rsid w:val="00A05FCA"/>
    <w:rsid w:val="00A13797"/>
    <w:rsid w:val="00A140DD"/>
    <w:rsid w:val="00A3695B"/>
    <w:rsid w:val="00A40D4A"/>
    <w:rsid w:val="00A46849"/>
    <w:rsid w:val="00A55A8F"/>
    <w:rsid w:val="00A57816"/>
    <w:rsid w:val="00A61728"/>
    <w:rsid w:val="00A70C81"/>
    <w:rsid w:val="00A710DE"/>
    <w:rsid w:val="00A720DE"/>
    <w:rsid w:val="00A737BD"/>
    <w:rsid w:val="00A84011"/>
    <w:rsid w:val="00A92E41"/>
    <w:rsid w:val="00A9318E"/>
    <w:rsid w:val="00AA23CE"/>
    <w:rsid w:val="00AD54FF"/>
    <w:rsid w:val="00AD5814"/>
    <w:rsid w:val="00AF1F15"/>
    <w:rsid w:val="00AF67EE"/>
    <w:rsid w:val="00B01153"/>
    <w:rsid w:val="00B01F0A"/>
    <w:rsid w:val="00B120C8"/>
    <w:rsid w:val="00B2744E"/>
    <w:rsid w:val="00B45F5A"/>
    <w:rsid w:val="00B47DA4"/>
    <w:rsid w:val="00B623DB"/>
    <w:rsid w:val="00B63613"/>
    <w:rsid w:val="00B70797"/>
    <w:rsid w:val="00B71190"/>
    <w:rsid w:val="00B716CC"/>
    <w:rsid w:val="00B73082"/>
    <w:rsid w:val="00B80111"/>
    <w:rsid w:val="00B83E04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7C00"/>
    <w:rsid w:val="00CD1523"/>
    <w:rsid w:val="00CE4EA8"/>
    <w:rsid w:val="00CF20FC"/>
    <w:rsid w:val="00CF2BA3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91FDB"/>
    <w:rsid w:val="00DA2533"/>
    <w:rsid w:val="00DB3D07"/>
    <w:rsid w:val="00DC431D"/>
    <w:rsid w:val="00DC62D2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4632"/>
    <w:rsid w:val="00E9101A"/>
    <w:rsid w:val="00EA2106"/>
    <w:rsid w:val="00EC07EE"/>
    <w:rsid w:val="00EC0B39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31B8"/>
    <w:rsid w:val="00F034F3"/>
    <w:rsid w:val="00F06B4A"/>
    <w:rsid w:val="00F17586"/>
    <w:rsid w:val="00F36798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d.co.za/about-ford/newsroom/" TargetMode="External"/><Relationship Id="rId13" Type="http://schemas.openxmlformats.org/officeDocument/2006/relationships/hyperlink" Target="http://www.twitter.com/FordSouthAfric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FordSouthAfri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ickpic.co.z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FordSouthAfrica" TargetMode="External"/><Relationship Id="rId10" Type="http://schemas.openxmlformats.org/officeDocument/2006/relationships/hyperlink" Target="http://www.ford.co.z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porate.ford.com/" TargetMode="External"/><Relationship Id="rId14" Type="http://schemas.openxmlformats.org/officeDocument/2006/relationships/hyperlink" Target="http://www.instagram.com/FordSouthAfric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3E16-992B-457F-B870-E02A8A43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1512</Words>
  <Characters>9076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2</cp:revision>
  <cp:lastPrinted>2020-10-19T11:58:00Z</cp:lastPrinted>
  <dcterms:created xsi:type="dcterms:W3CDTF">2021-02-03T15:46:00Z</dcterms:created>
  <dcterms:modified xsi:type="dcterms:W3CDTF">2021-02-03T15:46:00Z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